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43" w:rsidRPr="00054AAE" w:rsidRDefault="00966443" w:rsidP="00966443">
      <w:pPr>
        <w:jc w:val="center"/>
        <w:rPr>
          <w:rFonts w:ascii="Trebuchet MS" w:hAnsi="Trebuchet MS"/>
          <w:b/>
          <w:color w:val="000000" w:themeColor="text1"/>
          <w:sz w:val="44"/>
          <w:szCs w:val="52"/>
        </w:rPr>
      </w:pPr>
      <w:r>
        <w:rPr>
          <w:rFonts w:ascii="Trebuchet MS" w:hAnsi="Trebuchet MS"/>
          <w:b/>
          <w:color w:val="000000" w:themeColor="text1"/>
          <w:sz w:val="44"/>
          <w:szCs w:val="52"/>
        </w:rPr>
        <w:t>Integrating</w:t>
      </w:r>
      <w:r w:rsidRPr="00054AAE">
        <w:rPr>
          <w:rFonts w:ascii="Trebuchet MS" w:hAnsi="Trebuchet MS"/>
          <w:b/>
          <w:color w:val="000000" w:themeColor="text1"/>
          <w:sz w:val="44"/>
          <w:szCs w:val="52"/>
        </w:rPr>
        <w:t xml:space="preserve"> Oral Care into Primary Care:</w:t>
      </w:r>
    </w:p>
    <w:p w:rsidR="00966443" w:rsidRPr="003A047F" w:rsidRDefault="00966443" w:rsidP="00966443">
      <w:pPr>
        <w:spacing w:before="9"/>
        <w:jc w:val="center"/>
        <w:rPr>
          <w:rFonts w:ascii="Trebuchet MS" w:eastAsia="Calibri" w:hAnsi="Trebuchet MS" w:cs="Calibri"/>
          <w:color w:val="3097CC"/>
          <w:sz w:val="36"/>
          <w:szCs w:val="36"/>
        </w:rPr>
      </w:pPr>
      <w:r w:rsidRPr="003A047F">
        <w:rPr>
          <w:rFonts w:ascii="Trebuchet MS" w:eastAsia="Calibri" w:hAnsi="Trebuchet MS" w:cs="Calibri"/>
          <w:color w:val="3097CC"/>
          <w:sz w:val="36"/>
          <w:szCs w:val="36"/>
        </w:rPr>
        <w:t>Maternity: Teeth for Two</w:t>
      </w:r>
    </w:p>
    <w:p w:rsidR="00966443" w:rsidRPr="003D3C73" w:rsidRDefault="00966443" w:rsidP="00966443">
      <w:pPr>
        <w:pStyle w:val="BodyText"/>
        <w:spacing w:before="187"/>
        <w:ind w:right="87"/>
        <w:rPr>
          <w:rFonts w:asciiTheme="minorHAnsi" w:hAnsiTheme="minorHAnsi"/>
          <w:sz w:val="22"/>
          <w:szCs w:val="22"/>
        </w:rPr>
      </w:pPr>
      <w:r w:rsidRPr="003A047F">
        <w:rPr>
          <w:rFonts w:asciiTheme="minorHAnsi" w:hAnsiTheme="minorHAnsi" w:cs="Calibri"/>
          <w:b/>
          <w:color w:val="3097CC"/>
          <w:sz w:val="22"/>
          <w:szCs w:val="22"/>
        </w:rPr>
        <w:t>Maternity: Teeth for Two (MT42)</w:t>
      </w:r>
      <w:r w:rsidRPr="003D3C73">
        <w:rPr>
          <w:rFonts w:asciiTheme="minorHAnsi" w:hAnsiTheme="minorHAnsi" w:cs="Calibri"/>
          <w:i/>
          <w:sz w:val="22"/>
          <w:szCs w:val="22"/>
        </w:rPr>
        <w:t xml:space="preserve"> </w:t>
      </w:r>
      <w:r>
        <w:rPr>
          <w:rFonts w:asciiTheme="minorHAnsi" w:hAnsiTheme="minorHAnsi"/>
          <w:sz w:val="22"/>
          <w:szCs w:val="22"/>
        </w:rPr>
        <w:t xml:space="preserve">is an integration initiative </w:t>
      </w:r>
      <w:r w:rsidRPr="003D3C73">
        <w:rPr>
          <w:rFonts w:asciiTheme="minorHAnsi" w:hAnsiTheme="minorHAnsi"/>
          <w:sz w:val="22"/>
          <w:szCs w:val="22"/>
        </w:rPr>
        <w:t xml:space="preserve">developed to improve the oral health of Oregon’s </w:t>
      </w:r>
      <w:r>
        <w:rPr>
          <w:rFonts w:asciiTheme="minorHAnsi" w:hAnsiTheme="minorHAnsi"/>
          <w:sz w:val="22"/>
          <w:szCs w:val="22"/>
        </w:rPr>
        <w:t>pregnant women</w:t>
      </w:r>
      <w:r w:rsidRPr="003D3C73">
        <w:rPr>
          <w:rFonts w:asciiTheme="minorHAnsi" w:hAnsiTheme="minorHAnsi"/>
          <w:sz w:val="22"/>
          <w:szCs w:val="22"/>
        </w:rPr>
        <w:t xml:space="preserve"> and their children</w:t>
      </w:r>
      <w:r>
        <w:rPr>
          <w:rFonts w:asciiTheme="minorHAnsi" w:hAnsiTheme="minorHAnsi"/>
          <w:sz w:val="22"/>
          <w:szCs w:val="22"/>
        </w:rPr>
        <w:t xml:space="preserve"> by </w:t>
      </w:r>
      <w:r w:rsidRPr="003D3C73">
        <w:rPr>
          <w:rFonts w:asciiTheme="minorHAnsi" w:hAnsiTheme="minorHAnsi"/>
          <w:sz w:val="22"/>
          <w:szCs w:val="22"/>
        </w:rPr>
        <w:t xml:space="preserve">educating </w:t>
      </w:r>
      <w:r>
        <w:rPr>
          <w:rFonts w:asciiTheme="minorHAnsi" w:hAnsiTheme="minorHAnsi"/>
          <w:sz w:val="22"/>
          <w:szCs w:val="22"/>
        </w:rPr>
        <w:t xml:space="preserve">prenatal primary care physicians and caregivers on methods of integrating </w:t>
      </w:r>
      <w:r w:rsidRPr="003D3C73">
        <w:rPr>
          <w:rFonts w:asciiTheme="minorHAnsi" w:hAnsiTheme="minorHAnsi"/>
          <w:sz w:val="22"/>
          <w:szCs w:val="22"/>
        </w:rPr>
        <w:t xml:space="preserve">oral </w:t>
      </w:r>
      <w:r>
        <w:rPr>
          <w:rFonts w:asciiTheme="minorHAnsi" w:hAnsiTheme="minorHAnsi"/>
          <w:sz w:val="22"/>
          <w:szCs w:val="22"/>
        </w:rPr>
        <w:t xml:space="preserve">health into prenatal </w:t>
      </w:r>
      <w:r w:rsidRPr="003D3C73">
        <w:rPr>
          <w:rFonts w:asciiTheme="minorHAnsi" w:hAnsiTheme="minorHAnsi"/>
          <w:sz w:val="22"/>
          <w:szCs w:val="22"/>
        </w:rPr>
        <w:t xml:space="preserve">care. </w:t>
      </w:r>
    </w:p>
    <w:p w:rsidR="00966443" w:rsidRPr="003D3C73" w:rsidRDefault="00966443" w:rsidP="00966443">
      <w:pPr>
        <w:pStyle w:val="BodyText"/>
        <w:spacing w:before="187"/>
        <w:ind w:right="87"/>
        <w:rPr>
          <w:rFonts w:asciiTheme="minorHAnsi" w:hAnsiTheme="minorHAnsi"/>
          <w:sz w:val="22"/>
          <w:szCs w:val="22"/>
        </w:rPr>
      </w:pPr>
      <w:r>
        <w:rPr>
          <w:rFonts w:asciiTheme="minorHAnsi" w:hAnsiTheme="minorHAnsi"/>
          <w:sz w:val="22"/>
          <w:szCs w:val="22"/>
        </w:rPr>
        <w:t>The curriculum</w:t>
      </w:r>
      <w:r w:rsidRPr="003D3C73">
        <w:rPr>
          <w:rFonts w:asciiTheme="minorHAnsi" w:hAnsiTheme="minorHAnsi"/>
          <w:sz w:val="22"/>
          <w:szCs w:val="22"/>
        </w:rPr>
        <w:t xml:space="preserve"> provides information for pregnant women and the medical workforce on the importance of oral health during pregnancy. It is targeted toward prenatal providers, dental professionals, WIC staff, community health workers, and anyone who </w:t>
      </w:r>
      <w:r>
        <w:rPr>
          <w:rFonts w:asciiTheme="minorHAnsi" w:hAnsiTheme="minorHAnsi"/>
          <w:sz w:val="22"/>
          <w:szCs w:val="22"/>
        </w:rPr>
        <w:t>provides</w:t>
      </w:r>
      <w:r w:rsidRPr="003D3C73">
        <w:rPr>
          <w:rFonts w:asciiTheme="minorHAnsi" w:hAnsiTheme="minorHAnsi"/>
          <w:sz w:val="22"/>
          <w:szCs w:val="22"/>
        </w:rPr>
        <w:t xml:space="preserve"> education and</w:t>
      </w:r>
      <w:r>
        <w:rPr>
          <w:rFonts w:asciiTheme="minorHAnsi" w:hAnsiTheme="minorHAnsi"/>
          <w:sz w:val="22"/>
          <w:szCs w:val="22"/>
        </w:rPr>
        <w:t xml:space="preserve">/or </w:t>
      </w:r>
      <w:r w:rsidRPr="003D3C73">
        <w:rPr>
          <w:rFonts w:asciiTheme="minorHAnsi" w:hAnsiTheme="minorHAnsi"/>
          <w:sz w:val="22"/>
          <w:szCs w:val="22"/>
        </w:rPr>
        <w:t>care for expecting mothers.</w:t>
      </w:r>
    </w:p>
    <w:p w:rsidR="00966443" w:rsidRPr="003D3C73" w:rsidRDefault="00966443" w:rsidP="00966443">
      <w:pPr>
        <w:pStyle w:val="BodyText"/>
        <w:ind w:left="0" w:right="158"/>
        <w:rPr>
          <w:rFonts w:asciiTheme="minorHAnsi" w:hAnsiTheme="minorHAnsi"/>
          <w:sz w:val="22"/>
          <w:szCs w:val="22"/>
        </w:rPr>
      </w:pPr>
    </w:p>
    <w:p w:rsidR="00966443" w:rsidRPr="003D3C73" w:rsidRDefault="00966443" w:rsidP="00966443">
      <w:pPr>
        <w:spacing w:before="12"/>
      </w:pPr>
      <w:r w:rsidRPr="003D3C73">
        <w:rPr>
          <w:noProof/>
        </w:rPr>
        <w:drawing>
          <wp:anchor distT="0" distB="0" distL="114300" distR="114300" simplePos="0" relativeHeight="251659264" behindDoc="0" locked="0" layoutInCell="1" allowOverlap="1" wp14:anchorId="76B49F04" wp14:editId="0A4555D7">
            <wp:simplePos x="0" y="0"/>
            <wp:positionH relativeFrom="column">
              <wp:posOffset>52070</wp:posOffset>
            </wp:positionH>
            <wp:positionV relativeFrom="paragraph">
              <wp:posOffset>11542</wp:posOffset>
            </wp:positionV>
            <wp:extent cx="1527810" cy="2289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527810" cy="228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C73">
        <w:t>Oral health and control of oral disease are crucial aspects of a woman’s health, yet are often overlooked during pregnancy by both the expecting mother and her healthcare provider. In 2010, the Oregon Pregnancy Risk Assessment and Monitoring System (PRAMS) found that 49% of pregnant women did not go see a dentist at any point during their pregnancy. Good oral health improves overall health and well-being of women during pregnancy and contributes to the oral health of their</w:t>
      </w:r>
      <w:r w:rsidRPr="003D3C73">
        <w:rPr>
          <w:spacing w:val="-15"/>
        </w:rPr>
        <w:t xml:space="preserve"> </w:t>
      </w:r>
      <w:r w:rsidRPr="003D3C73">
        <w:t>children.</w:t>
      </w:r>
    </w:p>
    <w:p w:rsidR="00966443" w:rsidRPr="003D3C73" w:rsidRDefault="00966443" w:rsidP="00966443">
      <w:pPr>
        <w:spacing w:before="12"/>
        <w:rPr>
          <w:rFonts w:eastAsia="Calibri" w:cs="Calibri"/>
        </w:rPr>
      </w:pPr>
    </w:p>
    <w:p w:rsidR="00966443" w:rsidRPr="003D3C73" w:rsidRDefault="00966443" w:rsidP="00966443">
      <w:pPr>
        <w:pStyle w:val="BodyText"/>
        <w:ind w:right="150"/>
        <w:rPr>
          <w:rFonts w:asciiTheme="minorHAnsi" w:hAnsiTheme="minorHAnsi"/>
          <w:sz w:val="22"/>
          <w:szCs w:val="22"/>
        </w:rPr>
      </w:pPr>
      <w:r w:rsidRPr="003D3C73">
        <w:rPr>
          <w:rFonts w:asciiTheme="minorHAnsi" w:hAnsiTheme="minorHAnsi"/>
          <w:sz w:val="22"/>
          <w:szCs w:val="22"/>
        </w:rPr>
        <w:t>Dental caries is the single most common chronic disease in children, but is preventable and treatable. Being proactive about oral health care in the first years of life can make a significant difference. Science shows that the origin of oral health disease can start in utero. Bacteria from the mother can be transmitted to her baby and lead to increased risk of early-childhood carries. Oral health care is safe throughout pregnancy and is important to the health of the mother and</w:t>
      </w:r>
      <w:r w:rsidRPr="003D3C73">
        <w:rPr>
          <w:rFonts w:asciiTheme="minorHAnsi" w:hAnsiTheme="minorHAnsi"/>
          <w:spacing w:val="-28"/>
          <w:sz w:val="22"/>
          <w:szCs w:val="22"/>
        </w:rPr>
        <w:t xml:space="preserve"> </w:t>
      </w:r>
      <w:r w:rsidRPr="003D3C73">
        <w:rPr>
          <w:rFonts w:asciiTheme="minorHAnsi" w:hAnsiTheme="minorHAnsi"/>
          <w:sz w:val="22"/>
          <w:szCs w:val="22"/>
        </w:rPr>
        <w:t xml:space="preserve">child. </w:t>
      </w:r>
    </w:p>
    <w:p w:rsidR="00966443" w:rsidRPr="003D3C73" w:rsidRDefault="00966443" w:rsidP="00966443">
      <w:pPr>
        <w:pStyle w:val="BodyText"/>
        <w:spacing w:before="201"/>
        <w:ind w:left="0" w:right="229"/>
        <w:rPr>
          <w:rFonts w:asciiTheme="minorHAnsi" w:hAnsiTheme="minorHAnsi"/>
          <w:sz w:val="22"/>
          <w:szCs w:val="22"/>
        </w:rPr>
      </w:pPr>
      <w:r w:rsidRPr="003D3C73">
        <w:rPr>
          <w:rFonts w:asciiTheme="minorHAnsi" w:hAnsiTheme="minorHAnsi"/>
          <w:noProof/>
          <w:sz w:val="22"/>
          <w:szCs w:val="22"/>
        </w:rPr>
        <w:drawing>
          <wp:anchor distT="0" distB="0" distL="114300" distR="114300" simplePos="0" relativeHeight="251660288" behindDoc="0" locked="0" layoutInCell="1" allowOverlap="1" wp14:anchorId="20FAD679" wp14:editId="5202B0BB">
            <wp:simplePos x="0" y="0"/>
            <wp:positionH relativeFrom="column">
              <wp:posOffset>4989830</wp:posOffset>
            </wp:positionH>
            <wp:positionV relativeFrom="paragraph">
              <wp:posOffset>37465</wp:posOffset>
            </wp:positionV>
            <wp:extent cx="1317625" cy="13836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7625"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C73">
        <w:rPr>
          <w:rFonts w:asciiTheme="minorHAnsi" w:hAnsiTheme="minorHAnsi"/>
          <w:sz w:val="22"/>
          <w:szCs w:val="22"/>
        </w:rPr>
        <w:t xml:space="preserve">Based on our experience and </w:t>
      </w:r>
      <w:r>
        <w:rPr>
          <w:rFonts w:asciiTheme="minorHAnsi" w:hAnsiTheme="minorHAnsi"/>
          <w:sz w:val="22"/>
          <w:szCs w:val="22"/>
        </w:rPr>
        <w:t>the evidence of</w:t>
      </w:r>
      <w:r w:rsidRPr="003D3C73">
        <w:rPr>
          <w:rFonts w:asciiTheme="minorHAnsi" w:hAnsiTheme="minorHAnsi"/>
          <w:sz w:val="22"/>
          <w:szCs w:val="22"/>
        </w:rPr>
        <w:t xml:space="preserve"> previous efforts in Oregon, an informed healthcare delivery system has the potential to impact tens of thousands of mothers, parents, caregivers, and our youngest, most vulnerable</w:t>
      </w:r>
      <w:r w:rsidRPr="003D3C73">
        <w:rPr>
          <w:rFonts w:asciiTheme="minorHAnsi" w:hAnsiTheme="minorHAnsi"/>
          <w:spacing w:val="-14"/>
          <w:sz w:val="22"/>
          <w:szCs w:val="22"/>
        </w:rPr>
        <w:t xml:space="preserve"> </w:t>
      </w:r>
      <w:r w:rsidRPr="003D3C73">
        <w:rPr>
          <w:rFonts w:asciiTheme="minorHAnsi" w:hAnsiTheme="minorHAnsi"/>
          <w:sz w:val="22"/>
          <w:szCs w:val="22"/>
        </w:rPr>
        <w:t>Oregonians.</w:t>
      </w:r>
    </w:p>
    <w:p w:rsidR="00966443" w:rsidRPr="003D3C73" w:rsidRDefault="00966443" w:rsidP="00966443">
      <w:pPr>
        <w:pStyle w:val="BodyText"/>
        <w:spacing w:before="201"/>
        <w:ind w:left="0" w:right="229"/>
        <w:rPr>
          <w:rFonts w:asciiTheme="minorHAnsi" w:hAnsiTheme="minorHAnsi"/>
          <w:sz w:val="22"/>
          <w:szCs w:val="22"/>
        </w:rPr>
      </w:pPr>
      <w:r w:rsidRPr="003A047F">
        <w:rPr>
          <w:rFonts w:asciiTheme="minorHAnsi" w:hAnsiTheme="minorHAnsi"/>
          <w:b/>
          <w:color w:val="3097CC"/>
          <w:sz w:val="22"/>
          <w:szCs w:val="22"/>
        </w:rPr>
        <w:t>Maternity: Teeth for Two</w:t>
      </w:r>
      <w:r w:rsidRPr="003D3C73">
        <w:rPr>
          <w:rFonts w:asciiTheme="minorHAnsi" w:hAnsiTheme="minorHAnsi"/>
          <w:i/>
          <w:sz w:val="22"/>
          <w:szCs w:val="22"/>
        </w:rPr>
        <w:t xml:space="preserve"> </w:t>
      </w:r>
      <w:proofErr w:type="gramStart"/>
      <w:r w:rsidRPr="003D3C73">
        <w:rPr>
          <w:rFonts w:asciiTheme="minorHAnsi" w:hAnsiTheme="minorHAnsi"/>
          <w:sz w:val="22"/>
          <w:szCs w:val="22"/>
        </w:rPr>
        <w:t>includes</w:t>
      </w:r>
      <w:proofErr w:type="gramEnd"/>
      <w:r w:rsidRPr="003D3C73">
        <w:rPr>
          <w:rFonts w:asciiTheme="minorHAnsi" w:hAnsiTheme="minorHAnsi"/>
          <w:sz w:val="22"/>
          <w:szCs w:val="22"/>
        </w:rPr>
        <w:t>:</w:t>
      </w:r>
    </w:p>
    <w:p w:rsidR="00966443" w:rsidRPr="003D3C73" w:rsidRDefault="00966443" w:rsidP="00966443">
      <w:pPr>
        <w:pStyle w:val="BodyText"/>
        <w:numPr>
          <w:ilvl w:val="0"/>
          <w:numId w:val="1"/>
        </w:numPr>
        <w:ind w:right="158"/>
        <w:rPr>
          <w:rFonts w:asciiTheme="minorHAnsi" w:hAnsiTheme="minorHAnsi"/>
          <w:sz w:val="22"/>
          <w:szCs w:val="22"/>
        </w:rPr>
      </w:pPr>
      <w:r w:rsidRPr="003D3C73">
        <w:rPr>
          <w:rFonts w:asciiTheme="minorHAnsi" w:hAnsiTheme="minorHAnsi"/>
          <w:sz w:val="22"/>
          <w:szCs w:val="22"/>
        </w:rPr>
        <w:t>1 hour long training for providers and staff on methods of integrating oral health preventative services into current services</w:t>
      </w:r>
    </w:p>
    <w:p w:rsidR="00966443" w:rsidRPr="003D3C73" w:rsidRDefault="00966443" w:rsidP="00966443">
      <w:pPr>
        <w:pStyle w:val="BodyText"/>
        <w:numPr>
          <w:ilvl w:val="0"/>
          <w:numId w:val="1"/>
        </w:numPr>
        <w:ind w:right="158"/>
        <w:rPr>
          <w:rFonts w:asciiTheme="minorHAnsi" w:hAnsiTheme="minorHAnsi"/>
          <w:sz w:val="22"/>
          <w:szCs w:val="22"/>
        </w:rPr>
      </w:pPr>
      <w:r>
        <w:rPr>
          <w:rFonts w:asciiTheme="minorHAnsi" w:hAnsiTheme="minorHAnsi"/>
          <w:sz w:val="22"/>
          <w:szCs w:val="22"/>
        </w:rPr>
        <w:t>Maternity Oral H</w:t>
      </w:r>
      <w:r w:rsidRPr="003D3C73">
        <w:rPr>
          <w:rFonts w:asciiTheme="minorHAnsi" w:hAnsiTheme="minorHAnsi"/>
          <w:sz w:val="22"/>
          <w:szCs w:val="22"/>
        </w:rPr>
        <w:t>ealt</w:t>
      </w:r>
      <w:r>
        <w:rPr>
          <w:rFonts w:asciiTheme="minorHAnsi" w:hAnsiTheme="minorHAnsi"/>
          <w:sz w:val="22"/>
          <w:szCs w:val="22"/>
        </w:rPr>
        <w:t>h Integration Guide, including navigation tools</w:t>
      </w:r>
    </w:p>
    <w:p w:rsidR="00966443" w:rsidRPr="003D3C73" w:rsidRDefault="00966443" w:rsidP="00966443">
      <w:pPr>
        <w:pStyle w:val="ListParagraph"/>
        <w:numPr>
          <w:ilvl w:val="0"/>
          <w:numId w:val="1"/>
        </w:numPr>
        <w:tabs>
          <w:tab w:val="left" w:pos="839"/>
          <w:tab w:val="left" w:pos="840"/>
        </w:tabs>
        <w:autoSpaceDE w:val="0"/>
        <w:autoSpaceDN w:val="0"/>
        <w:ind w:right="1005"/>
      </w:pPr>
      <w:r w:rsidRPr="003D3C73">
        <w:t>Culturally appropriate handouts, exam/waiting room posters and anticipatory guidance that can be shared with parents and caregivers</w:t>
      </w:r>
    </w:p>
    <w:p w:rsidR="00966443" w:rsidRPr="003D3C73" w:rsidRDefault="00966443" w:rsidP="00966443">
      <w:pPr>
        <w:pStyle w:val="ListParagraph"/>
        <w:numPr>
          <w:ilvl w:val="0"/>
          <w:numId w:val="1"/>
        </w:numPr>
        <w:tabs>
          <w:tab w:val="left" w:pos="839"/>
          <w:tab w:val="left" w:pos="840"/>
        </w:tabs>
        <w:autoSpaceDE w:val="0"/>
        <w:autoSpaceDN w:val="0"/>
        <w:ind w:right="1005"/>
      </w:pPr>
      <w:r w:rsidRPr="003D3C73">
        <w:t xml:space="preserve">Continued support and technical assistance from </w:t>
      </w:r>
      <w:r>
        <w:t>the Oregon Oral Health Coalition (OrOHC)</w:t>
      </w:r>
      <w:r w:rsidRPr="003D3C73">
        <w:t xml:space="preserve"> on systems-based implementation, workflow and clinical</w:t>
      </w:r>
      <w:r w:rsidRPr="003D3C73">
        <w:rPr>
          <w:spacing w:val="-16"/>
        </w:rPr>
        <w:t xml:space="preserve"> </w:t>
      </w:r>
      <w:r w:rsidRPr="003D3C73">
        <w:t>instruction</w:t>
      </w:r>
    </w:p>
    <w:p w:rsidR="00966443" w:rsidRPr="003D3C73" w:rsidRDefault="00966443" w:rsidP="00966443">
      <w:pPr>
        <w:tabs>
          <w:tab w:val="left" w:pos="839"/>
          <w:tab w:val="left" w:pos="840"/>
        </w:tabs>
        <w:autoSpaceDE w:val="0"/>
        <w:autoSpaceDN w:val="0"/>
        <w:ind w:right="1005"/>
      </w:pPr>
    </w:p>
    <w:p w:rsidR="00966443" w:rsidRPr="003D3C73" w:rsidRDefault="00966443" w:rsidP="00966443">
      <w:r w:rsidRPr="003A047F">
        <w:rPr>
          <w:b/>
          <w:color w:val="3097CC"/>
        </w:rPr>
        <w:t>Maternity: Teeth for Two</w:t>
      </w:r>
      <w:r w:rsidRPr="003D3C73">
        <w:t xml:space="preserve"> </w:t>
      </w:r>
      <w:proofErr w:type="gramStart"/>
      <w:r w:rsidRPr="003D3C73">
        <w:t>i</w:t>
      </w:r>
      <w:r>
        <w:t>s</w:t>
      </w:r>
      <w:proofErr w:type="gramEnd"/>
      <w:r>
        <w:t xml:space="preserve"> one of </w:t>
      </w:r>
      <w:proofErr w:type="spellStart"/>
      <w:r>
        <w:t>OrOHC’s</w:t>
      </w:r>
      <w:proofErr w:type="spellEnd"/>
      <w:r>
        <w:t xml:space="preserve"> three oral health initiatives to integrate oral health into primary care across the lifespan.</w:t>
      </w:r>
      <w:r w:rsidRPr="003D3C73">
        <w:t xml:space="preserve"> Other resources available are </w:t>
      </w:r>
      <w:r w:rsidRPr="003D3C73">
        <w:rPr>
          <w:b/>
          <w:color w:val="E48115"/>
        </w:rPr>
        <w:t>First Tooth</w:t>
      </w:r>
      <w:r w:rsidRPr="003D3C73">
        <w:rPr>
          <w:color w:val="E48115"/>
        </w:rPr>
        <w:t xml:space="preserve"> </w:t>
      </w:r>
      <w:r w:rsidRPr="003D3C73">
        <w:t xml:space="preserve">and </w:t>
      </w:r>
      <w:r w:rsidRPr="003A047F">
        <w:rPr>
          <w:b/>
          <w:color w:val="52AA91"/>
        </w:rPr>
        <w:t>Oral Health and Chronic Disease</w:t>
      </w:r>
      <w:r w:rsidRPr="003D3C73">
        <w:t>.</w:t>
      </w:r>
    </w:p>
    <w:p w:rsidR="00966443" w:rsidRPr="00263340" w:rsidRDefault="00966443" w:rsidP="00966443">
      <w:pPr>
        <w:tabs>
          <w:tab w:val="left" w:pos="839"/>
          <w:tab w:val="left" w:pos="840"/>
        </w:tabs>
        <w:autoSpaceDE w:val="0"/>
        <w:autoSpaceDN w:val="0"/>
        <w:ind w:right="1005"/>
        <w:rPr>
          <w:color w:val="FF0000"/>
        </w:rPr>
      </w:pPr>
      <w:r>
        <w:br/>
        <w:t>To learn more about MT42</w:t>
      </w:r>
      <w:r w:rsidRPr="003D3C73">
        <w:t xml:space="preserve"> </w:t>
      </w:r>
      <w:r>
        <w:t xml:space="preserve">and </w:t>
      </w:r>
      <w:proofErr w:type="spellStart"/>
      <w:r w:rsidRPr="003D3C73">
        <w:t>OrOHC’s</w:t>
      </w:r>
      <w:proofErr w:type="spellEnd"/>
      <w:r w:rsidRPr="003D3C73">
        <w:t xml:space="preserve"> other </w:t>
      </w:r>
      <w:r>
        <w:t>initiatives</w:t>
      </w:r>
      <w:r w:rsidRPr="003D3C73">
        <w:t xml:space="preserve"> visit </w:t>
      </w:r>
      <w:hyperlink r:id="rId10" w:history="1">
        <w:r w:rsidRPr="0006346F">
          <w:rPr>
            <w:rStyle w:val="Hyperlink"/>
          </w:rPr>
          <w:t>orohc.org</w:t>
        </w:r>
      </w:hyperlink>
      <w:r w:rsidRPr="0006346F">
        <w:rPr>
          <w:b/>
          <w:color w:val="FF0000"/>
        </w:rPr>
        <w:t xml:space="preserve"> </w:t>
      </w:r>
    </w:p>
    <w:p w:rsidR="00966443" w:rsidRDefault="00966443" w:rsidP="00966443">
      <w:pPr>
        <w:pStyle w:val="BodyText"/>
        <w:ind w:left="0" w:right="158"/>
      </w:pPr>
      <w:r w:rsidRPr="003D3C73">
        <w:rPr>
          <w:rFonts w:asciiTheme="minorHAnsi" w:hAnsiTheme="minorHAnsi"/>
          <w:sz w:val="22"/>
          <w:szCs w:val="22"/>
        </w:rPr>
        <w:t xml:space="preserve">To host </w:t>
      </w:r>
      <w:r w:rsidRPr="003A047F">
        <w:rPr>
          <w:rFonts w:asciiTheme="minorHAnsi" w:hAnsiTheme="minorHAnsi"/>
          <w:b/>
          <w:color w:val="3097CC"/>
          <w:sz w:val="22"/>
          <w:szCs w:val="22"/>
        </w:rPr>
        <w:t>Maternity: Teeth for Two</w:t>
      </w:r>
      <w:r w:rsidRPr="003D3C73">
        <w:rPr>
          <w:rFonts w:asciiTheme="minorHAnsi" w:hAnsiTheme="minorHAnsi"/>
          <w:i/>
          <w:sz w:val="22"/>
          <w:szCs w:val="22"/>
        </w:rPr>
        <w:t xml:space="preserve"> </w:t>
      </w:r>
      <w:r w:rsidRPr="003D3C73">
        <w:rPr>
          <w:rFonts w:asciiTheme="minorHAnsi" w:hAnsiTheme="minorHAnsi"/>
          <w:sz w:val="22"/>
          <w:szCs w:val="22"/>
        </w:rPr>
        <w:t xml:space="preserve">at your site </w:t>
      </w:r>
      <w:r>
        <w:rPr>
          <w:rFonts w:asciiTheme="minorHAnsi" w:hAnsiTheme="minorHAnsi"/>
          <w:sz w:val="22"/>
          <w:szCs w:val="22"/>
        </w:rPr>
        <w:t xml:space="preserve">contact </w:t>
      </w:r>
      <w:r w:rsidRPr="003D3C73">
        <w:rPr>
          <w:rFonts w:asciiTheme="minorHAnsi" w:hAnsiTheme="minorHAnsi"/>
          <w:sz w:val="22"/>
          <w:szCs w:val="22"/>
        </w:rPr>
        <w:t xml:space="preserve">OrOHC </w:t>
      </w:r>
      <w:r>
        <w:rPr>
          <w:rFonts w:asciiTheme="minorHAnsi" w:hAnsiTheme="minorHAnsi"/>
          <w:sz w:val="22"/>
          <w:szCs w:val="22"/>
        </w:rPr>
        <w:t xml:space="preserve">at </w:t>
      </w:r>
      <w:hyperlink r:id="rId11" w:history="1">
        <w:r w:rsidRPr="00C33D68">
          <w:rPr>
            <w:rStyle w:val="Hyperlink"/>
          </w:rPr>
          <w:t>orohcinfo@ocdc.net</w:t>
        </w:r>
      </w:hyperlink>
    </w:p>
    <w:p w:rsidR="00966443" w:rsidRPr="003D3C73" w:rsidRDefault="00966443" w:rsidP="00966443">
      <w:pPr>
        <w:pStyle w:val="BodyText"/>
        <w:ind w:left="0" w:right="158"/>
        <w:rPr>
          <w:rFonts w:asciiTheme="minorHAnsi" w:hAnsiTheme="minorHAnsi"/>
          <w:sz w:val="22"/>
          <w:szCs w:val="22"/>
        </w:rPr>
      </w:pPr>
      <w:r>
        <w:rPr>
          <w:rFonts w:asciiTheme="minorHAnsi" w:hAnsiTheme="minorHAnsi"/>
          <w:sz w:val="22"/>
          <w:szCs w:val="22"/>
        </w:rPr>
        <w:t xml:space="preserve"> </w:t>
      </w:r>
      <w:bookmarkStart w:id="0" w:name="_GoBack"/>
      <w:bookmarkEnd w:id="0"/>
    </w:p>
    <w:sectPr w:rsidR="00966443" w:rsidRPr="003D3C73" w:rsidSect="00EC4701">
      <w:headerReference w:type="default" r:id="rId12"/>
      <w:footerReference w:type="default" r:id="rId13"/>
      <w:pgSz w:w="12240" w:h="15840"/>
      <w:pgMar w:top="1008" w:right="1397" w:bottom="245" w:left="1325" w:header="720" w:footer="720" w:gutter="0"/>
      <w:pgBorders w:offsetFrom="page">
        <w:top w:val="dotted" w:sz="12" w:space="24" w:color="00B0F0"/>
        <w:left w:val="dotted" w:sz="12" w:space="24" w:color="00B0F0"/>
        <w:bottom w:val="dotted" w:sz="12" w:space="24" w:color="00B0F0"/>
        <w:right w:val="dotted" w:sz="12" w:space="24" w:color="00B0F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218" w:rsidRDefault="00521218" w:rsidP="004B4986">
      <w:r>
        <w:separator/>
      </w:r>
    </w:p>
  </w:endnote>
  <w:endnote w:type="continuationSeparator" w:id="0">
    <w:p w:rsidR="00521218" w:rsidRDefault="00521218" w:rsidP="004B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40" w:rsidRDefault="00263340" w:rsidP="00263340">
    <w:pPr>
      <w:pStyle w:val="Footer"/>
      <w:jc w:val="center"/>
    </w:pPr>
    <w:r>
      <w:rPr>
        <w:noProof/>
      </w:rPr>
      <w:drawing>
        <wp:inline distT="0" distB="0" distL="0" distR="0" wp14:anchorId="25D9026B" wp14:editId="113E7AD9">
          <wp:extent cx="1323975" cy="4964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hc_logo_fullsize_cc_optimized.png"/>
                  <pic:cNvPicPr/>
                </pic:nvPicPr>
                <pic:blipFill>
                  <a:blip r:embed="rId1">
                    <a:extLst>
                      <a:ext uri="{28A0092B-C50C-407E-A947-70E740481C1C}">
                        <a14:useLocalDpi xmlns:a14="http://schemas.microsoft.com/office/drawing/2010/main" val="0"/>
                      </a:ext>
                    </a:extLst>
                  </a:blip>
                  <a:stretch>
                    <a:fillRect/>
                  </a:stretch>
                </pic:blipFill>
                <pic:spPr>
                  <a:xfrm>
                    <a:off x="0" y="0"/>
                    <a:ext cx="1323810" cy="49642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218" w:rsidRDefault="00521218" w:rsidP="004B4986">
      <w:r>
        <w:separator/>
      </w:r>
    </w:p>
  </w:footnote>
  <w:footnote w:type="continuationSeparator" w:id="0">
    <w:p w:rsidR="00521218" w:rsidRDefault="00521218" w:rsidP="004B4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986" w:rsidRDefault="004B4986" w:rsidP="004B498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490E"/>
    <w:multiLevelType w:val="hybridMultilevel"/>
    <w:tmpl w:val="A1D614EA"/>
    <w:lvl w:ilvl="0" w:tplc="C0F870C2">
      <w:numFmt w:val="bullet"/>
      <w:lvlText w:val=""/>
      <w:lvlJc w:val="left"/>
      <w:pPr>
        <w:ind w:left="839" w:hanging="361"/>
      </w:pPr>
      <w:rPr>
        <w:rFonts w:ascii="Symbol" w:eastAsia="Symbol" w:hAnsi="Symbol" w:cs="Symbol" w:hint="default"/>
        <w:w w:val="100"/>
        <w:sz w:val="22"/>
        <w:szCs w:val="22"/>
      </w:rPr>
    </w:lvl>
    <w:lvl w:ilvl="1" w:tplc="5B72AB10">
      <w:numFmt w:val="bullet"/>
      <w:lvlText w:val="•"/>
      <w:lvlJc w:val="left"/>
      <w:pPr>
        <w:ind w:left="1710" w:hanging="361"/>
      </w:pPr>
      <w:rPr>
        <w:rFonts w:hint="default"/>
      </w:rPr>
    </w:lvl>
    <w:lvl w:ilvl="2" w:tplc="34226BEE">
      <w:numFmt w:val="bullet"/>
      <w:lvlText w:val="•"/>
      <w:lvlJc w:val="left"/>
      <w:pPr>
        <w:ind w:left="2580" w:hanging="361"/>
      </w:pPr>
      <w:rPr>
        <w:rFonts w:hint="default"/>
      </w:rPr>
    </w:lvl>
    <w:lvl w:ilvl="3" w:tplc="FB20B700">
      <w:numFmt w:val="bullet"/>
      <w:lvlText w:val="•"/>
      <w:lvlJc w:val="left"/>
      <w:pPr>
        <w:ind w:left="3450" w:hanging="361"/>
      </w:pPr>
      <w:rPr>
        <w:rFonts w:hint="default"/>
      </w:rPr>
    </w:lvl>
    <w:lvl w:ilvl="4" w:tplc="18F86296">
      <w:numFmt w:val="bullet"/>
      <w:lvlText w:val="•"/>
      <w:lvlJc w:val="left"/>
      <w:pPr>
        <w:ind w:left="4320" w:hanging="361"/>
      </w:pPr>
      <w:rPr>
        <w:rFonts w:hint="default"/>
      </w:rPr>
    </w:lvl>
    <w:lvl w:ilvl="5" w:tplc="B0BE1328">
      <w:numFmt w:val="bullet"/>
      <w:lvlText w:val="•"/>
      <w:lvlJc w:val="left"/>
      <w:pPr>
        <w:ind w:left="5190" w:hanging="361"/>
      </w:pPr>
      <w:rPr>
        <w:rFonts w:hint="default"/>
      </w:rPr>
    </w:lvl>
    <w:lvl w:ilvl="6" w:tplc="5DE8EADA">
      <w:numFmt w:val="bullet"/>
      <w:lvlText w:val="•"/>
      <w:lvlJc w:val="left"/>
      <w:pPr>
        <w:ind w:left="6060" w:hanging="361"/>
      </w:pPr>
      <w:rPr>
        <w:rFonts w:hint="default"/>
      </w:rPr>
    </w:lvl>
    <w:lvl w:ilvl="7" w:tplc="38323A44">
      <w:numFmt w:val="bullet"/>
      <w:lvlText w:val="•"/>
      <w:lvlJc w:val="left"/>
      <w:pPr>
        <w:ind w:left="6930" w:hanging="361"/>
      </w:pPr>
      <w:rPr>
        <w:rFonts w:hint="default"/>
      </w:rPr>
    </w:lvl>
    <w:lvl w:ilvl="8" w:tplc="C0B21C60">
      <w:numFmt w:val="bullet"/>
      <w:lvlText w:val="•"/>
      <w:lvlJc w:val="left"/>
      <w:pPr>
        <w:ind w:left="7800" w:hanging="361"/>
      </w:pPr>
      <w:rPr>
        <w:rFonts w:hint="default"/>
      </w:rPr>
    </w:lvl>
  </w:abstractNum>
  <w:abstractNum w:abstractNumId="1">
    <w:nsid w:val="4E5B4466"/>
    <w:multiLevelType w:val="hybridMultilevel"/>
    <w:tmpl w:val="8B2EEB4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2"/>
  </w:compat>
  <w:rsids>
    <w:rsidRoot w:val="00E20484"/>
    <w:rsid w:val="000048FE"/>
    <w:rsid w:val="000207BE"/>
    <w:rsid w:val="0006346F"/>
    <w:rsid w:val="000A37C8"/>
    <w:rsid w:val="000F4E03"/>
    <w:rsid w:val="001071B8"/>
    <w:rsid w:val="001B037A"/>
    <w:rsid w:val="001C39DD"/>
    <w:rsid w:val="00263340"/>
    <w:rsid w:val="002743C0"/>
    <w:rsid w:val="00292CE3"/>
    <w:rsid w:val="002C70CC"/>
    <w:rsid w:val="003427C1"/>
    <w:rsid w:val="003633C1"/>
    <w:rsid w:val="0039379B"/>
    <w:rsid w:val="003D3C73"/>
    <w:rsid w:val="003F53E7"/>
    <w:rsid w:val="004422BA"/>
    <w:rsid w:val="004B4986"/>
    <w:rsid w:val="00521218"/>
    <w:rsid w:val="005567CA"/>
    <w:rsid w:val="005D5562"/>
    <w:rsid w:val="005E7D3C"/>
    <w:rsid w:val="006205A2"/>
    <w:rsid w:val="006246BA"/>
    <w:rsid w:val="006261BE"/>
    <w:rsid w:val="006B27EC"/>
    <w:rsid w:val="00761961"/>
    <w:rsid w:val="0080088C"/>
    <w:rsid w:val="008362CD"/>
    <w:rsid w:val="009200F5"/>
    <w:rsid w:val="00966443"/>
    <w:rsid w:val="00995DFB"/>
    <w:rsid w:val="00A24823"/>
    <w:rsid w:val="00AA18F1"/>
    <w:rsid w:val="00AD0D46"/>
    <w:rsid w:val="00AE33E9"/>
    <w:rsid w:val="00B82387"/>
    <w:rsid w:val="00B86655"/>
    <w:rsid w:val="00B92AF7"/>
    <w:rsid w:val="00BB3BC5"/>
    <w:rsid w:val="00BD0A02"/>
    <w:rsid w:val="00C116D1"/>
    <w:rsid w:val="00C36535"/>
    <w:rsid w:val="00CE384B"/>
    <w:rsid w:val="00DB437C"/>
    <w:rsid w:val="00DF6B3B"/>
    <w:rsid w:val="00E20484"/>
    <w:rsid w:val="00E607E8"/>
    <w:rsid w:val="00EB213B"/>
    <w:rsid w:val="00EC4701"/>
    <w:rsid w:val="00EF156B"/>
    <w:rsid w:val="00FF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7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0CC"/>
    <w:rPr>
      <w:rFonts w:ascii="Segoe UI" w:hAnsi="Segoe UI" w:cs="Segoe UI"/>
      <w:sz w:val="18"/>
      <w:szCs w:val="18"/>
    </w:rPr>
  </w:style>
  <w:style w:type="character" w:styleId="Hyperlink">
    <w:name w:val="Hyperlink"/>
    <w:basedOn w:val="DefaultParagraphFont"/>
    <w:uiPriority w:val="99"/>
    <w:unhideWhenUsed/>
    <w:rsid w:val="00DF6B3B"/>
    <w:rPr>
      <w:color w:val="0000FF" w:themeColor="hyperlink"/>
      <w:u w:val="single"/>
    </w:rPr>
  </w:style>
  <w:style w:type="paragraph" w:styleId="Header">
    <w:name w:val="header"/>
    <w:basedOn w:val="Normal"/>
    <w:link w:val="HeaderChar"/>
    <w:uiPriority w:val="99"/>
    <w:unhideWhenUsed/>
    <w:rsid w:val="004B4986"/>
    <w:pPr>
      <w:tabs>
        <w:tab w:val="center" w:pos="4680"/>
        <w:tab w:val="right" w:pos="9360"/>
      </w:tabs>
    </w:pPr>
  </w:style>
  <w:style w:type="character" w:customStyle="1" w:styleId="HeaderChar">
    <w:name w:val="Header Char"/>
    <w:basedOn w:val="DefaultParagraphFont"/>
    <w:link w:val="Header"/>
    <w:uiPriority w:val="99"/>
    <w:rsid w:val="004B4986"/>
  </w:style>
  <w:style w:type="paragraph" w:styleId="Footer">
    <w:name w:val="footer"/>
    <w:basedOn w:val="Normal"/>
    <w:link w:val="FooterChar"/>
    <w:uiPriority w:val="99"/>
    <w:unhideWhenUsed/>
    <w:rsid w:val="004B4986"/>
    <w:pPr>
      <w:tabs>
        <w:tab w:val="center" w:pos="4680"/>
        <w:tab w:val="right" w:pos="9360"/>
      </w:tabs>
    </w:pPr>
  </w:style>
  <w:style w:type="character" w:customStyle="1" w:styleId="FooterChar">
    <w:name w:val="Footer Char"/>
    <w:basedOn w:val="DefaultParagraphFont"/>
    <w:link w:val="Footer"/>
    <w:uiPriority w:val="99"/>
    <w:rsid w:val="004B4986"/>
  </w:style>
  <w:style w:type="character" w:customStyle="1" w:styleId="BodyTextChar">
    <w:name w:val="Body Text Char"/>
    <w:basedOn w:val="DefaultParagraphFont"/>
    <w:link w:val="BodyText"/>
    <w:uiPriority w:val="1"/>
    <w:rsid w:val="00995DFB"/>
    <w:rPr>
      <w:rFonts w:ascii="Calibri" w:eastAsia="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rohcinfo@ocdc.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orohc.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1517</TotalTime>
  <Pages>1</Pages>
  <Words>290</Words>
  <Characters>2521</Characters>
  <Application>Microsoft Office Word</Application>
  <DocSecurity>0</DocSecurity>
  <Lines>132</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Ulrich (OrOHC)</dc:creator>
  <cp:lastModifiedBy>Caroline Tydings (OrOHC x1062)</cp:lastModifiedBy>
  <cp:revision>132</cp:revision>
  <cp:lastPrinted>2016-12-21T22:41:00Z</cp:lastPrinted>
  <dcterms:created xsi:type="dcterms:W3CDTF">2016-04-06T11:58:00Z</dcterms:created>
  <dcterms:modified xsi:type="dcterms:W3CDTF">2017-06-07T22:07:00Z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2015-05-21T00:00:00Z</vt:filetime>
  </property>
  <property fmtid="{D5CDD505-2E9C-101B-9397-08002B2CF9AE}" pid="3" name="Creator">
    <vt:lpwstr>Acrobat PDFMaker 11 for Word</vt:lpwstr>
  </property>
  <property fmtid="{D5CDD505-2E9C-101B-9397-08002B2CF9AE}" pid="4" name="LastSaved">
    <vt:filetime>2016-04-06T00:00:00Z</vt:filetime>
  </property>
</Properties>
</file>