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054AAE" w:rsidRDefault="00A8107D" w:rsidP="00A8107D">
      <w:pPr>
        <w:jc w:val="center"/>
        <w:rPr>
          <w:rFonts w:ascii="Trebuchet MS" w:hAnsi="Trebuchet MS"/>
          <w:b/>
          <w:color w:val="000000" w:themeColor="text1"/>
          <w:sz w:val="44"/>
          <w:szCs w:val="52"/>
        </w:rPr>
      </w:pPr>
      <w:r>
        <w:rPr>
          <w:rFonts w:ascii="Trebuchet MS" w:hAnsi="Trebuchet MS"/>
          <w:b/>
          <w:color w:val="000000" w:themeColor="text1"/>
          <w:sz w:val="44"/>
          <w:szCs w:val="52"/>
        </w:rPr>
        <w:t>Integrating</w:t>
      </w:r>
      <w:r w:rsidRPr="00054AAE">
        <w:rPr>
          <w:rFonts w:ascii="Trebuchet MS" w:hAnsi="Trebuchet MS"/>
          <w:b/>
          <w:color w:val="000000" w:themeColor="text1"/>
          <w:sz w:val="44"/>
          <w:szCs w:val="52"/>
        </w:rPr>
        <w:t xml:space="preserve"> Oral Care into Primary Care:</w:t>
      </w:r>
    </w:p>
    <w:p w:rsidR="00A8107D" w:rsidRPr="0088070C" w:rsidRDefault="00A8107D" w:rsidP="00A8107D">
      <w:pPr>
        <w:spacing w:after="200"/>
        <w:jc w:val="center"/>
        <w:rPr>
          <w:rFonts w:ascii="Trebuchet MS" w:hAnsi="Trebuchet MS"/>
          <w:b/>
          <w:color w:val="E48115"/>
          <w:sz w:val="36"/>
          <w:szCs w:val="36"/>
        </w:rPr>
      </w:pPr>
      <w:r w:rsidRPr="0088070C">
        <w:rPr>
          <w:rFonts w:ascii="Trebuchet MS" w:hAnsi="Trebuchet MS"/>
          <w:b/>
          <w:color w:val="E48115"/>
          <w:sz w:val="36"/>
          <w:szCs w:val="36"/>
        </w:rPr>
        <w:t>First Tooth</w:t>
      </w:r>
    </w:p>
    <w:p w:rsidR="00A8107D" w:rsidRDefault="00A8107D" w:rsidP="00A8107D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8B275E5" wp14:editId="11619DA6">
            <wp:simplePos x="0" y="0"/>
            <wp:positionH relativeFrom="margin">
              <wp:posOffset>20320</wp:posOffset>
            </wp:positionH>
            <wp:positionV relativeFrom="margin">
              <wp:posOffset>1408430</wp:posOffset>
            </wp:positionV>
            <wp:extent cx="2381250" cy="1997075"/>
            <wp:effectExtent l="0" t="0" r="0" b="3175"/>
            <wp:wrapTight wrapText="bothSides">
              <wp:wrapPolygon edited="0">
                <wp:start x="0" y="0"/>
                <wp:lineTo x="0" y="21428"/>
                <wp:lineTo x="21427" y="21428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Tooth Logo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221">
        <w:rPr>
          <w:rFonts w:asciiTheme="minorHAnsi" w:hAnsiTheme="minorHAnsi"/>
          <w:b/>
          <w:color w:val="E48115"/>
        </w:rPr>
        <w:t>First Tooth</w:t>
      </w:r>
      <w:r w:rsidRPr="001D7221">
        <w:rPr>
          <w:rFonts w:asciiTheme="minorHAnsi" w:hAnsiTheme="minorHAnsi"/>
          <w:color w:val="E48115"/>
        </w:rPr>
        <w:t xml:space="preserve"> </w:t>
      </w:r>
      <w:r w:rsidRPr="002D7F27">
        <w:rPr>
          <w:rFonts w:asciiTheme="minorHAnsi" w:hAnsiTheme="minorHAnsi"/>
        </w:rPr>
        <w:t>is an integration initiative de</w:t>
      </w:r>
      <w:r w:rsidRPr="001B596B">
        <w:rPr>
          <w:rFonts w:asciiTheme="minorHAnsi" w:hAnsiTheme="minorHAnsi"/>
        </w:rPr>
        <w:t>veloped to reduce early child</w:t>
      </w:r>
      <w:r>
        <w:rPr>
          <w:rFonts w:asciiTheme="minorHAnsi" w:hAnsiTheme="minorHAnsi"/>
        </w:rPr>
        <w:t>hood</w:t>
      </w:r>
      <w:r w:rsidRPr="001B596B">
        <w:rPr>
          <w:rFonts w:asciiTheme="minorHAnsi" w:hAnsiTheme="minorHAnsi"/>
        </w:rPr>
        <w:t xml:space="preserve"> caries in Oregon by training medical providers to implement preventative oral health services into existing services for infants and toddlers ages five and under. </w:t>
      </w:r>
      <w:r>
        <w:rPr>
          <w:rFonts w:asciiTheme="minorHAnsi" w:hAnsiTheme="minorHAnsi"/>
        </w:rPr>
        <w:t>It is also available for</w:t>
      </w:r>
      <w:r w:rsidRPr="001B596B">
        <w:rPr>
          <w:rFonts w:asciiTheme="minorHAnsi" w:hAnsiTheme="minorHAnsi"/>
        </w:rPr>
        <w:t xml:space="preserve"> WIC programs, </w:t>
      </w:r>
      <w:proofErr w:type="spellStart"/>
      <w:r w:rsidRPr="001B596B">
        <w:rPr>
          <w:rFonts w:asciiTheme="minorHAnsi" w:hAnsiTheme="minorHAnsi"/>
        </w:rPr>
        <w:t>HeadStart</w:t>
      </w:r>
      <w:proofErr w:type="spellEnd"/>
      <w:r w:rsidRPr="001B596B">
        <w:rPr>
          <w:rFonts w:asciiTheme="minorHAnsi" w:hAnsiTheme="minorHAnsi"/>
        </w:rPr>
        <w:t xml:space="preserve"> programs and other entities that have a vested interest in the oral health of children ages 0-5.</w:t>
      </w:r>
    </w:p>
    <w:p w:rsidR="00A8107D" w:rsidRPr="00F36AC6" w:rsidRDefault="00A8107D" w:rsidP="00A8107D">
      <w:pPr>
        <w:spacing w:after="200"/>
        <w:rPr>
          <w:rFonts w:ascii="Trebuchet MS" w:hAnsi="Trebuchet MS"/>
          <w:color w:val="E48115"/>
          <w:sz w:val="36"/>
          <w:szCs w:val="36"/>
        </w:rPr>
      </w:pPr>
      <w:r w:rsidRPr="001B596B">
        <w:rPr>
          <w:rFonts w:asciiTheme="minorHAnsi" w:hAnsiTheme="minorHAnsi"/>
        </w:rPr>
        <w:t>Early childhood caries (tooth decay) is a significant public health concern in Oregon and is the most common chronic disease of childhood, affecting five times more children than asthma. Despite its high prevalence, tooth decay is a preventable disease.</w:t>
      </w:r>
    </w:p>
    <w:p w:rsidR="00A8107D" w:rsidRPr="001B596B" w:rsidRDefault="00A8107D" w:rsidP="00A8107D">
      <w:pPr>
        <w:pStyle w:val="BodyText"/>
        <w:spacing w:line="266" w:lineRule="exact"/>
        <w:ind w:right="655"/>
        <w:rPr>
          <w:rFonts w:asciiTheme="minorHAnsi" w:hAnsiTheme="minorHAnsi"/>
        </w:rPr>
      </w:pPr>
      <w:r w:rsidRPr="001B596B">
        <w:rPr>
          <w:rFonts w:asciiTheme="minorHAnsi" w:hAnsiTheme="minorHAnsi"/>
        </w:rPr>
        <w:t xml:space="preserve">The </w:t>
      </w:r>
      <w:r w:rsidRPr="001B596B">
        <w:rPr>
          <w:rFonts w:asciiTheme="minorHAnsi" w:hAnsiTheme="minorHAnsi"/>
          <w:b/>
        </w:rPr>
        <w:t xml:space="preserve">American Academy of Pediatrics </w:t>
      </w:r>
      <w:r w:rsidRPr="001B596B">
        <w:rPr>
          <w:rFonts w:asciiTheme="minorHAnsi" w:hAnsiTheme="minorHAnsi"/>
        </w:rPr>
        <w:t xml:space="preserve">and the </w:t>
      </w:r>
      <w:r w:rsidRPr="001B596B">
        <w:rPr>
          <w:rFonts w:asciiTheme="minorHAnsi" w:hAnsiTheme="minorHAnsi"/>
          <w:b/>
        </w:rPr>
        <w:t xml:space="preserve">American Academy of Pediatric Dentistry </w:t>
      </w:r>
      <w:r w:rsidRPr="001B596B">
        <w:rPr>
          <w:rFonts w:asciiTheme="minorHAnsi" w:hAnsiTheme="minorHAnsi"/>
        </w:rPr>
        <w:t xml:space="preserve">recommend that babies receive an oral health risk assessment, including a visual screening, anticipatory guidance, preventive strategies, (such as fluoride varnish), and the establishment of a dental home by age </w:t>
      </w:r>
      <w:r>
        <w:rPr>
          <w:rFonts w:asciiTheme="minorHAnsi" w:hAnsiTheme="minorHAnsi"/>
        </w:rPr>
        <w:t>one</w:t>
      </w:r>
      <w:r w:rsidRPr="001B596B">
        <w:rPr>
          <w:rFonts w:asciiTheme="minorHAnsi" w:hAnsiTheme="minorHAnsi"/>
        </w:rPr>
        <w:t>. (Research studies show that application of fluoride varnish can reduce tooth decay between 30% - 69% in primary teeth of high-risk children.)</w:t>
      </w:r>
    </w:p>
    <w:p w:rsidR="00A8107D" w:rsidRPr="001B596B" w:rsidRDefault="00A8107D" w:rsidP="00A8107D">
      <w:pPr>
        <w:pStyle w:val="BodyText"/>
        <w:rPr>
          <w:rFonts w:asciiTheme="minorHAnsi" w:hAnsiTheme="minorHAnsi"/>
        </w:rPr>
      </w:pPr>
    </w:p>
    <w:p w:rsidR="00A8107D" w:rsidRPr="001B596B" w:rsidRDefault="00A8107D" w:rsidP="00A8107D">
      <w:pPr>
        <w:pStyle w:val="BodyText"/>
        <w:ind w:right="82"/>
        <w:rPr>
          <w:rFonts w:asciiTheme="minorHAnsi" w:hAnsiTheme="minorHAnsi"/>
        </w:rPr>
      </w:pPr>
      <w:r w:rsidRPr="001B596B">
        <w:rPr>
          <w:rFonts w:asciiTheme="minorHAnsi" w:hAnsiTheme="minorHAnsi"/>
        </w:rPr>
        <w:t>In order to fulfil these recommendations,</w:t>
      </w:r>
      <w:r w:rsidRPr="001B596B">
        <w:rPr>
          <w:rFonts w:asciiTheme="minorHAnsi" w:hAnsiTheme="minorHAnsi"/>
          <w:b/>
        </w:rPr>
        <w:t xml:space="preserve"> </w:t>
      </w:r>
      <w:r w:rsidRPr="001D7221">
        <w:rPr>
          <w:rFonts w:asciiTheme="minorHAnsi" w:hAnsiTheme="minorHAnsi"/>
          <w:b/>
          <w:color w:val="E48115"/>
        </w:rPr>
        <w:t>First Tooth</w:t>
      </w:r>
      <w:r w:rsidRPr="001D7221">
        <w:rPr>
          <w:rFonts w:asciiTheme="minorHAnsi" w:hAnsiTheme="minorHAnsi"/>
          <w:i/>
          <w:color w:val="E48115"/>
        </w:rPr>
        <w:t xml:space="preserve"> </w:t>
      </w:r>
      <w:r w:rsidRPr="001B596B">
        <w:rPr>
          <w:rFonts w:asciiTheme="minorHAnsi" w:hAnsiTheme="minorHAnsi"/>
        </w:rPr>
        <w:t xml:space="preserve">training topics cover: the prevalence and impact of oral disease, risk assessment, culturally appropriate anticipatory guidance, fluoride varnish application, implementation, workflow tips and access to dental care and a dental home. </w:t>
      </w:r>
      <w:r>
        <w:rPr>
          <w:rFonts w:asciiTheme="minorHAnsi" w:hAnsiTheme="minorHAnsi"/>
        </w:rPr>
        <w:t>T</w:t>
      </w:r>
      <w:r w:rsidRPr="001B596B">
        <w:rPr>
          <w:rFonts w:asciiTheme="minorHAnsi" w:hAnsiTheme="minorHAnsi"/>
        </w:rPr>
        <w:t>rainers also provide on-site support to build collaboration between dental and medical providers.</w:t>
      </w:r>
    </w:p>
    <w:p w:rsidR="00A8107D" w:rsidRPr="001B596B" w:rsidRDefault="00A8107D" w:rsidP="00A8107D">
      <w:pPr>
        <w:pStyle w:val="BodyText"/>
        <w:ind w:right="82"/>
        <w:rPr>
          <w:rFonts w:asciiTheme="minorHAnsi" w:hAnsiTheme="minorHAnsi"/>
        </w:rPr>
      </w:pPr>
    </w:p>
    <w:p w:rsidR="00A8107D" w:rsidRPr="001B596B" w:rsidRDefault="00A8107D" w:rsidP="00A8107D">
      <w:pPr>
        <w:pStyle w:val="BodyText"/>
        <w:ind w:right="158"/>
        <w:rPr>
          <w:rFonts w:asciiTheme="minorHAnsi" w:hAnsiTheme="minorHAnsi"/>
        </w:rPr>
      </w:pPr>
      <w:r w:rsidRPr="001D7221">
        <w:rPr>
          <w:rFonts w:asciiTheme="minorHAnsi" w:hAnsiTheme="minorHAnsi"/>
          <w:b/>
          <w:color w:val="E48115"/>
        </w:rPr>
        <w:t>First Tooth</w:t>
      </w:r>
      <w:r>
        <w:rPr>
          <w:rFonts w:asciiTheme="minorHAnsi" w:hAnsiTheme="minorHAnsi"/>
        </w:rPr>
        <w:t xml:space="preserve"> </w:t>
      </w:r>
      <w:r w:rsidRPr="001B596B">
        <w:rPr>
          <w:rFonts w:asciiTheme="minorHAnsi" w:hAnsiTheme="minorHAnsi"/>
        </w:rPr>
        <w:t>includes:</w:t>
      </w:r>
    </w:p>
    <w:p w:rsidR="00A8107D" w:rsidRPr="001B596B" w:rsidRDefault="00A8107D" w:rsidP="00A8107D">
      <w:pPr>
        <w:pStyle w:val="BodyText"/>
        <w:numPr>
          <w:ilvl w:val="0"/>
          <w:numId w:val="2"/>
        </w:numPr>
        <w:autoSpaceDE/>
        <w:autoSpaceDN/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1.5</w:t>
      </w:r>
      <w:r w:rsidRPr="001B596B">
        <w:rPr>
          <w:rFonts w:asciiTheme="minorHAnsi" w:hAnsiTheme="minorHAnsi"/>
        </w:rPr>
        <w:t xml:space="preserve"> hour long in-office training for providers and staff</w:t>
      </w:r>
      <w:r>
        <w:rPr>
          <w:rFonts w:asciiTheme="minorHAnsi" w:hAnsiTheme="minorHAnsi"/>
        </w:rPr>
        <w:t xml:space="preserve"> on methods of integrating</w:t>
      </w:r>
      <w:r w:rsidRPr="001B596B">
        <w:rPr>
          <w:rFonts w:asciiTheme="minorHAnsi" w:hAnsiTheme="minorHAnsi"/>
        </w:rPr>
        <w:t xml:space="preserve"> oral health preventative services into current services</w:t>
      </w:r>
    </w:p>
    <w:p w:rsidR="00A8107D" w:rsidRPr="001B596B" w:rsidRDefault="00A8107D" w:rsidP="00A8107D">
      <w:pPr>
        <w:pStyle w:val="BodyText"/>
        <w:numPr>
          <w:ilvl w:val="0"/>
          <w:numId w:val="2"/>
        </w:numPr>
        <w:autoSpaceDE/>
        <w:autoSpaceDN/>
        <w:ind w:right="158"/>
        <w:rPr>
          <w:rFonts w:asciiTheme="minorHAnsi" w:hAnsiTheme="minorHAnsi"/>
        </w:rPr>
      </w:pPr>
      <w:r>
        <w:rPr>
          <w:rFonts w:asciiTheme="minorHAnsi" w:hAnsiTheme="minorHAnsi"/>
        </w:rPr>
        <w:t>Oral H</w:t>
      </w:r>
      <w:r w:rsidRPr="001B596B">
        <w:rPr>
          <w:rFonts w:asciiTheme="minorHAnsi" w:hAnsiTheme="minorHAnsi"/>
        </w:rPr>
        <w:t>ealt</w:t>
      </w:r>
      <w:r>
        <w:rPr>
          <w:rFonts w:asciiTheme="minorHAnsi" w:hAnsiTheme="minorHAnsi"/>
        </w:rPr>
        <w:t>h Integration Guide, including navigation tools</w:t>
      </w:r>
    </w:p>
    <w:p w:rsidR="00A8107D" w:rsidRPr="001B596B" w:rsidRDefault="00A8107D" w:rsidP="00A8107D">
      <w:pPr>
        <w:pStyle w:val="BodyText"/>
        <w:numPr>
          <w:ilvl w:val="0"/>
          <w:numId w:val="2"/>
        </w:numPr>
        <w:autoSpaceDE/>
        <w:autoSpaceDN/>
        <w:ind w:right="158"/>
        <w:rPr>
          <w:rFonts w:asciiTheme="minorHAnsi" w:hAnsiTheme="minorHAnsi"/>
        </w:rPr>
      </w:pPr>
      <w:r w:rsidRPr="001B596B">
        <w:rPr>
          <w:rFonts w:asciiTheme="minorHAnsi" w:hAnsiTheme="minorHAnsi"/>
        </w:rPr>
        <w:t>Instruction on fluoride varnish application</w:t>
      </w:r>
    </w:p>
    <w:p w:rsidR="00A8107D" w:rsidRPr="001B596B" w:rsidRDefault="00A8107D" w:rsidP="00A8107D">
      <w:pPr>
        <w:pStyle w:val="BodyText"/>
        <w:numPr>
          <w:ilvl w:val="0"/>
          <w:numId w:val="2"/>
        </w:numPr>
        <w:autoSpaceDE/>
        <w:autoSpaceDN/>
        <w:ind w:right="158"/>
        <w:rPr>
          <w:rFonts w:asciiTheme="minorHAnsi" w:hAnsiTheme="minorHAnsi"/>
        </w:rPr>
      </w:pPr>
      <w:r w:rsidRPr="001B596B">
        <w:rPr>
          <w:rFonts w:asciiTheme="minorHAnsi" w:hAnsiTheme="minorHAnsi"/>
        </w:rPr>
        <w:t>Culturally appropriate handouts, exam/waiting room posters and anticipatory guidance that can be shared with parents and caregivers</w:t>
      </w:r>
    </w:p>
    <w:p w:rsidR="00A8107D" w:rsidRPr="001B596B" w:rsidRDefault="00A8107D" w:rsidP="00A8107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05" w:hanging="360"/>
        <w:rPr>
          <w:rFonts w:asciiTheme="minorHAnsi" w:hAnsiTheme="minorHAnsi"/>
        </w:rPr>
      </w:pPr>
      <w:r w:rsidRPr="001B596B">
        <w:rPr>
          <w:rFonts w:asciiTheme="minorHAnsi" w:hAnsiTheme="minorHAnsi"/>
        </w:rPr>
        <w:t xml:space="preserve">Continued support and technical assistance from </w:t>
      </w:r>
      <w:r>
        <w:rPr>
          <w:rFonts w:asciiTheme="minorHAnsi" w:hAnsiTheme="minorHAnsi"/>
        </w:rPr>
        <w:t>Oregon Oral Health Coalition (OrOHC)</w:t>
      </w:r>
      <w:r w:rsidRPr="001B596B">
        <w:rPr>
          <w:rFonts w:asciiTheme="minorHAnsi" w:hAnsiTheme="minorHAnsi"/>
        </w:rPr>
        <w:t xml:space="preserve"> on systems-based implementation, workflow and clinical</w:t>
      </w:r>
      <w:r w:rsidRPr="001B596B">
        <w:rPr>
          <w:rFonts w:asciiTheme="minorHAnsi" w:hAnsiTheme="minorHAnsi"/>
          <w:spacing w:val="-16"/>
        </w:rPr>
        <w:t xml:space="preserve"> </w:t>
      </w:r>
      <w:r w:rsidRPr="001B596B">
        <w:rPr>
          <w:rFonts w:asciiTheme="minorHAnsi" w:hAnsiTheme="minorHAnsi"/>
        </w:rPr>
        <w:t>instruction</w:t>
      </w:r>
      <w:r w:rsidRPr="001B596B">
        <w:rPr>
          <w:rFonts w:asciiTheme="minorHAnsi" w:hAnsiTheme="minorHAnsi"/>
        </w:rPr>
        <w:br/>
      </w:r>
    </w:p>
    <w:p w:rsidR="00A8107D" w:rsidRPr="007202D5" w:rsidRDefault="00A8107D" w:rsidP="00A8107D">
      <w:pPr>
        <w:rPr>
          <w:color w:val="3097CC"/>
        </w:rPr>
      </w:pPr>
      <w:r w:rsidRPr="001D7221">
        <w:rPr>
          <w:rFonts w:asciiTheme="minorHAnsi" w:hAnsiTheme="minorHAnsi"/>
          <w:b/>
          <w:color w:val="E48115"/>
        </w:rPr>
        <w:t>First Tooth</w:t>
      </w:r>
      <w:r>
        <w:rPr>
          <w:rFonts w:asciiTheme="minorHAnsi" w:hAnsiTheme="minorHAnsi"/>
        </w:rPr>
        <w:t xml:space="preserve"> </w:t>
      </w:r>
      <w:r>
        <w:t xml:space="preserve">is one </w:t>
      </w:r>
      <w:proofErr w:type="spellStart"/>
      <w:r>
        <w:t>OrOHC’s</w:t>
      </w:r>
      <w:proofErr w:type="spellEnd"/>
      <w:r>
        <w:t xml:space="preserve"> three oral health initiatives to integrate oral health into primary care across the lifespan. Other resources available are </w:t>
      </w:r>
      <w:r w:rsidRPr="007202D5">
        <w:rPr>
          <w:rFonts w:asciiTheme="minorHAnsi" w:hAnsiTheme="minorHAnsi"/>
          <w:b/>
          <w:color w:val="52AA91"/>
        </w:rPr>
        <w:t>Oral Health and Chronic Disease</w:t>
      </w:r>
      <w:r w:rsidRPr="007202D5">
        <w:rPr>
          <w:rFonts w:asciiTheme="minorHAnsi" w:hAnsiTheme="minorHAnsi"/>
          <w:color w:val="52AA91"/>
        </w:rPr>
        <w:t xml:space="preserve"> </w:t>
      </w:r>
      <w:r>
        <w:t xml:space="preserve">and </w:t>
      </w:r>
      <w:r w:rsidRPr="007202D5">
        <w:rPr>
          <w:b/>
          <w:color w:val="3097CC"/>
        </w:rPr>
        <w:t>Maternity: Teeth for Two</w:t>
      </w:r>
      <w:r w:rsidRPr="007202D5">
        <w:rPr>
          <w:color w:val="3097CC"/>
        </w:rPr>
        <w:t>.</w:t>
      </w:r>
    </w:p>
    <w:p w:rsidR="00A8107D" w:rsidRDefault="00A8107D" w:rsidP="00A8107D">
      <w:pPr>
        <w:rPr>
          <w:rFonts w:asciiTheme="minorHAnsi" w:hAnsiTheme="minorHAnsi"/>
        </w:rPr>
      </w:pPr>
    </w:p>
    <w:p w:rsidR="00A8107D" w:rsidRPr="00F30DBB" w:rsidRDefault="00A8107D" w:rsidP="00A8107D">
      <w:pPr>
        <w:tabs>
          <w:tab w:val="left" w:pos="839"/>
          <w:tab w:val="left" w:pos="840"/>
        </w:tabs>
        <w:ind w:right="1005"/>
        <w:rPr>
          <w:color w:val="FF0000"/>
        </w:rPr>
      </w:pPr>
      <w:r>
        <w:rPr>
          <w:rFonts w:asciiTheme="minorHAnsi" w:hAnsiTheme="minorHAnsi"/>
        </w:rPr>
        <w:t xml:space="preserve">To learn more about </w:t>
      </w:r>
      <w:r w:rsidRPr="001D7221">
        <w:rPr>
          <w:rFonts w:asciiTheme="minorHAnsi" w:hAnsiTheme="minorHAnsi"/>
          <w:b/>
          <w:color w:val="E48115"/>
        </w:rPr>
        <w:t>First Tooth</w:t>
      </w:r>
      <w:r w:rsidRPr="001B596B">
        <w:rPr>
          <w:rFonts w:asciiTheme="minorHAnsi" w:hAnsiTheme="minorHAnsi"/>
        </w:rPr>
        <w:t xml:space="preserve"> </w:t>
      </w:r>
      <w:r>
        <w:t xml:space="preserve">and </w:t>
      </w:r>
      <w:proofErr w:type="spellStart"/>
      <w:r w:rsidRPr="003D3C73">
        <w:t>OrOHC’s</w:t>
      </w:r>
      <w:proofErr w:type="spellEnd"/>
      <w:r w:rsidRPr="003D3C73">
        <w:t xml:space="preserve"> other </w:t>
      </w:r>
      <w:r>
        <w:t>initiatives</w:t>
      </w:r>
      <w:r w:rsidRPr="003D3C73">
        <w:t xml:space="preserve"> visit </w:t>
      </w:r>
      <w:hyperlink r:id="rId9" w:history="1">
        <w:r w:rsidRPr="00A22AEE">
          <w:rPr>
            <w:rStyle w:val="Hyperlink"/>
          </w:rPr>
          <w:t>orohc.org</w:t>
        </w:r>
      </w:hyperlink>
      <w:r>
        <w:t xml:space="preserve">. </w:t>
      </w:r>
    </w:p>
    <w:p w:rsidR="00A8107D" w:rsidRDefault="00A8107D" w:rsidP="00A8107D">
      <w:pPr>
        <w:pStyle w:val="BodyText"/>
        <w:ind w:right="158"/>
      </w:pPr>
      <w:r>
        <w:rPr>
          <w:rFonts w:asciiTheme="minorHAnsi" w:hAnsiTheme="minorHAnsi"/>
        </w:rPr>
        <w:t>To host</w:t>
      </w:r>
      <w:r w:rsidRPr="001B596B">
        <w:rPr>
          <w:rFonts w:asciiTheme="minorHAnsi" w:hAnsiTheme="minorHAnsi"/>
        </w:rPr>
        <w:t xml:space="preserve"> </w:t>
      </w:r>
      <w:r w:rsidRPr="001D7221">
        <w:rPr>
          <w:rFonts w:asciiTheme="minorHAnsi" w:hAnsiTheme="minorHAnsi"/>
          <w:b/>
          <w:color w:val="E48115"/>
        </w:rPr>
        <w:t>First Tooth</w:t>
      </w:r>
      <w:r w:rsidRPr="001D7221">
        <w:rPr>
          <w:rFonts w:asciiTheme="minorHAnsi" w:hAnsiTheme="minorHAnsi"/>
          <w:i/>
          <w:color w:val="E48115"/>
        </w:rPr>
        <w:t xml:space="preserve"> </w:t>
      </w:r>
      <w:r w:rsidRPr="001B596B">
        <w:rPr>
          <w:rFonts w:asciiTheme="minorHAnsi" w:hAnsiTheme="minorHAnsi"/>
        </w:rPr>
        <w:t xml:space="preserve">at your </w:t>
      </w:r>
      <w:r>
        <w:rPr>
          <w:rFonts w:asciiTheme="minorHAnsi" w:hAnsiTheme="minorHAnsi"/>
        </w:rPr>
        <w:t>s</w:t>
      </w:r>
      <w:r w:rsidRPr="001B596B">
        <w:rPr>
          <w:rFonts w:asciiTheme="minorHAnsi" w:hAnsiTheme="minorHAnsi"/>
        </w:rPr>
        <w:t>ite</w:t>
      </w:r>
      <w:r>
        <w:rPr>
          <w:rFonts w:asciiTheme="minorHAnsi" w:hAnsiTheme="minorHAnsi"/>
        </w:rPr>
        <w:t xml:space="preserve">, </w:t>
      </w:r>
      <w:r w:rsidRPr="001B596B">
        <w:rPr>
          <w:rFonts w:asciiTheme="minorHAnsi" w:hAnsiTheme="minorHAnsi"/>
        </w:rPr>
        <w:t xml:space="preserve">contact OrOHC </w:t>
      </w:r>
      <w:hyperlink r:id="rId10" w:history="1">
        <w:r w:rsidRPr="0003238D">
          <w:rPr>
            <w:rStyle w:val="Hyperlink"/>
          </w:rPr>
          <w:t>orohcinfo@ocdc.net</w:t>
        </w:r>
      </w:hyperlink>
    </w:p>
    <w:p w:rsidR="00A8107D" w:rsidRPr="00F36AC6" w:rsidRDefault="00A8107D" w:rsidP="00A8107D">
      <w:pPr>
        <w:pStyle w:val="BodyText"/>
        <w:ind w:right="158"/>
        <w:rPr>
          <w:rFonts w:asciiTheme="minorHAnsi" w:hAnsiTheme="minorHAnsi"/>
        </w:rPr>
      </w:pPr>
    </w:p>
    <w:p w:rsidR="0034290B" w:rsidRPr="00A8107D" w:rsidRDefault="0034290B" w:rsidP="00A8107D">
      <w:bookmarkStart w:id="0" w:name="_GoBack"/>
      <w:bookmarkEnd w:id="0"/>
    </w:p>
    <w:sectPr w:rsidR="0034290B" w:rsidRPr="00A8107D" w:rsidSect="00386A06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tted" w:sz="12" w:space="24" w:color="E48115"/>
        <w:left w:val="dotted" w:sz="12" w:space="24" w:color="E48115"/>
        <w:bottom w:val="dotted" w:sz="12" w:space="24" w:color="E48115"/>
        <w:right w:val="dotted" w:sz="12" w:space="24" w:color="E4811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3A" w:rsidRDefault="00F16E3A" w:rsidP="00A00E1C">
      <w:r>
        <w:separator/>
      </w:r>
    </w:p>
  </w:endnote>
  <w:endnote w:type="continuationSeparator" w:id="0">
    <w:p w:rsidR="00F16E3A" w:rsidRDefault="00F16E3A" w:rsidP="00A0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BB" w:rsidRDefault="00F30DBB" w:rsidP="00F30DBB">
    <w:pPr>
      <w:pStyle w:val="Footer"/>
      <w:jc w:val="center"/>
    </w:pPr>
    <w:r>
      <w:rPr>
        <w:noProof/>
      </w:rPr>
      <w:drawing>
        <wp:inline distT="0" distB="0" distL="0" distR="0" wp14:anchorId="772EEAC9" wp14:editId="5DF208A5">
          <wp:extent cx="1323975" cy="4964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hc_logo_fullsize_cc_optimiz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10" cy="49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3A" w:rsidRDefault="00F16E3A" w:rsidP="00A00E1C">
      <w:r>
        <w:separator/>
      </w:r>
    </w:p>
  </w:footnote>
  <w:footnote w:type="continuationSeparator" w:id="0">
    <w:p w:rsidR="00F16E3A" w:rsidRDefault="00F16E3A" w:rsidP="00A0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90E"/>
    <w:multiLevelType w:val="hybridMultilevel"/>
    <w:tmpl w:val="A1D614EA"/>
    <w:lvl w:ilvl="0" w:tplc="C0F870C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72AB10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34226BEE"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FB20B700">
      <w:numFmt w:val="bullet"/>
      <w:lvlText w:val="•"/>
      <w:lvlJc w:val="left"/>
      <w:pPr>
        <w:ind w:left="3450" w:hanging="361"/>
      </w:pPr>
      <w:rPr>
        <w:rFonts w:hint="default"/>
      </w:rPr>
    </w:lvl>
    <w:lvl w:ilvl="4" w:tplc="18F86296"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B0BE1328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5DE8EADA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38323A44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C0B21C60">
      <w:numFmt w:val="bullet"/>
      <w:lvlText w:val="•"/>
      <w:lvlJc w:val="left"/>
      <w:pPr>
        <w:ind w:left="7800" w:hanging="361"/>
      </w:pPr>
      <w:rPr>
        <w:rFonts w:hint="default"/>
      </w:rPr>
    </w:lvl>
  </w:abstractNum>
  <w:abstractNum w:abstractNumId="1">
    <w:nsid w:val="4E5B4466"/>
    <w:multiLevelType w:val="hybridMultilevel"/>
    <w:tmpl w:val="8B2EEB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E6"/>
    <w:rsid w:val="000A70D8"/>
    <w:rsid w:val="001403EF"/>
    <w:rsid w:val="00166F62"/>
    <w:rsid w:val="001B596B"/>
    <w:rsid w:val="001C3276"/>
    <w:rsid w:val="001D7221"/>
    <w:rsid w:val="00275333"/>
    <w:rsid w:val="00296C19"/>
    <w:rsid w:val="002C5870"/>
    <w:rsid w:val="002D1B47"/>
    <w:rsid w:val="002D2DF1"/>
    <w:rsid w:val="002D7F27"/>
    <w:rsid w:val="0034290B"/>
    <w:rsid w:val="00345972"/>
    <w:rsid w:val="0036408E"/>
    <w:rsid w:val="003866B9"/>
    <w:rsid w:val="00386A06"/>
    <w:rsid w:val="003F6023"/>
    <w:rsid w:val="00484DA4"/>
    <w:rsid w:val="004D02B4"/>
    <w:rsid w:val="00544CE9"/>
    <w:rsid w:val="0055003B"/>
    <w:rsid w:val="005649E9"/>
    <w:rsid w:val="00567D38"/>
    <w:rsid w:val="0067739A"/>
    <w:rsid w:val="006F1C45"/>
    <w:rsid w:val="007202D5"/>
    <w:rsid w:val="00733A41"/>
    <w:rsid w:val="0084174A"/>
    <w:rsid w:val="0088070C"/>
    <w:rsid w:val="0088324E"/>
    <w:rsid w:val="008D3768"/>
    <w:rsid w:val="0093052A"/>
    <w:rsid w:val="00946061"/>
    <w:rsid w:val="00984B3F"/>
    <w:rsid w:val="00A00E1C"/>
    <w:rsid w:val="00A22AEE"/>
    <w:rsid w:val="00A769F5"/>
    <w:rsid w:val="00A8107D"/>
    <w:rsid w:val="00AA61E9"/>
    <w:rsid w:val="00B04D22"/>
    <w:rsid w:val="00B1294B"/>
    <w:rsid w:val="00B35B82"/>
    <w:rsid w:val="00B7474E"/>
    <w:rsid w:val="00BA5FF8"/>
    <w:rsid w:val="00BF2E31"/>
    <w:rsid w:val="00C4051A"/>
    <w:rsid w:val="00C425DB"/>
    <w:rsid w:val="00C67352"/>
    <w:rsid w:val="00C72E74"/>
    <w:rsid w:val="00C73779"/>
    <w:rsid w:val="00C8527F"/>
    <w:rsid w:val="00C95E1F"/>
    <w:rsid w:val="00CD1BF4"/>
    <w:rsid w:val="00D500BE"/>
    <w:rsid w:val="00D56FE6"/>
    <w:rsid w:val="00DE2EDA"/>
    <w:rsid w:val="00E73EE4"/>
    <w:rsid w:val="00E82BE4"/>
    <w:rsid w:val="00F16E3A"/>
    <w:rsid w:val="00F30DBB"/>
    <w:rsid w:val="00F36AC6"/>
    <w:rsid w:val="00F87A7A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6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6FE6"/>
  </w:style>
  <w:style w:type="character" w:customStyle="1" w:styleId="BodyTextChar">
    <w:name w:val="Body Text Char"/>
    <w:basedOn w:val="DefaultParagraphFont"/>
    <w:link w:val="BodyText"/>
    <w:uiPriority w:val="1"/>
    <w:rsid w:val="00D56FE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D56FE6"/>
    <w:pPr>
      <w:ind w:left="839" w:hanging="360"/>
    </w:pPr>
  </w:style>
  <w:style w:type="character" w:styleId="Hyperlink">
    <w:name w:val="Hyperlink"/>
    <w:basedOn w:val="DefaultParagraphFont"/>
    <w:uiPriority w:val="99"/>
    <w:unhideWhenUsed/>
    <w:rsid w:val="00D56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6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6FE6"/>
  </w:style>
  <w:style w:type="character" w:customStyle="1" w:styleId="BodyTextChar">
    <w:name w:val="Body Text Char"/>
    <w:basedOn w:val="DefaultParagraphFont"/>
    <w:link w:val="BodyText"/>
    <w:uiPriority w:val="1"/>
    <w:rsid w:val="00D56FE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D56FE6"/>
    <w:pPr>
      <w:ind w:left="839" w:hanging="360"/>
    </w:pPr>
  </w:style>
  <w:style w:type="character" w:styleId="Hyperlink">
    <w:name w:val="Hyperlink"/>
    <w:basedOn w:val="DefaultParagraphFont"/>
    <w:uiPriority w:val="99"/>
    <w:unhideWhenUsed/>
    <w:rsid w:val="00D56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ohcinfo@ocdc.net" TargetMode="External"/><Relationship Id="rId4" Type="http://schemas.openxmlformats.org/officeDocument/2006/relationships/settings" Target="settings.xml"/><Relationship Id="rId9" Type="http://schemas.openxmlformats.org/officeDocument/2006/relationships/hyperlink" Target="oroh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259</Words>
  <Characters>2245</Characters>
  <Application>Microsoft Office Word</Application>
  <DocSecurity>0</DocSecurity>
  <Lines>118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Tydings (OrOHC x1062)</dc:creator>
  <cp:lastModifiedBy>Caroline Tydings (OrOHC x1062)</cp:lastModifiedBy>
  <cp:revision>205</cp:revision>
  <cp:lastPrinted>2016-12-21T22:41:00Z</cp:lastPrinted>
  <dcterms:created xsi:type="dcterms:W3CDTF">2016-12-19T19:16:00Z</dcterms:created>
  <dcterms:modified xsi:type="dcterms:W3CDTF">2017-06-07T22:06:00Z</dcterms:modified>
</cp:coreProperties>
</file>